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5D97" w14:textId="15FA4137" w:rsidR="00361D53" w:rsidRDefault="00C146E2" w:rsidP="00361D53">
      <w:pPr>
        <w:pStyle w:val="BodyA"/>
      </w:pPr>
      <w:r>
        <w:rPr>
          <w:noProof/>
        </w:rPr>
        <w:drawing>
          <wp:inline distT="0" distB="0" distL="0" distR="0" wp14:anchorId="3CA4A589" wp14:editId="136F4859">
            <wp:extent cx="1183618" cy="1010276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3618" cy="10102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FB91624" w14:textId="77777777" w:rsidR="00361D53" w:rsidRPr="008A02DE" w:rsidRDefault="00361D53" w:rsidP="00361D53">
      <w:pPr>
        <w:pStyle w:val="BodyA"/>
        <w:rPr>
          <w:sz w:val="36"/>
          <w:szCs w:val="36"/>
        </w:rPr>
      </w:pPr>
    </w:p>
    <w:p w14:paraId="56FC70D8" w14:textId="77777777" w:rsidR="008A02DE" w:rsidRPr="00742FB1" w:rsidRDefault="008A02DE" w:rsidP="008A02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Futura Bk BT" w:eastAsiaTheme="minorHAnsi" w:hAnsi="Futura Bk BT" w:cstheme="minorBidi"/>
          <w:b/>
          <w:bCs/>
          <w:sz w:val="40"/>
          <w:szCs w:val="40"/>
          <w:bdr w:val="none" w:sz="0" w:space="0" w:color="auto"/>
        </w:rPr>
      </w:pPr>
      <w:r w:rsidRPr="00742FB1">
        <w:rPr>
          <w:rFonts w:ascii="Futura Bk BT" w:eastAsiaTheme="minorHAnsi" w:hAnsi="Futura Bk BT" w:cstheme="minorBidi"/>
          <w:b/>
          <w:bCs/>
          <w:sz w:val="40"/>
          <w:szCs w:val="40"/>
          <w:bdr w:val="none" w:sz="0" w:space="0" w:color="auto"/>
        </w:rPr>
        <w:t xml:space="preserve">Helping Students Realize Their Strength, Interests and Aspirations </w:t>
      </w:r>
    </w:p>
    <w:p w14:paraId="74A6C7B7" w14:textId="7CE42215" w:rsidR="008A02DE" w:rsidRPr="00742FB1" w:rsidRDefault="008A02DE" w:rsidP="008A02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Futura Bk BT" w:eastAsiaTheme="minorHAnsi" w:hAnsi="Futura Bk BT" w:cstheme="minorBidi"/>
          <w:b/>
          <w:bCs/>
          <w:sz w:val="40"/>
          <w:szCs w:val="40"/>
          <w:bdr w:val="none" w:sz="0" w:space="0" w:color="auto"/>
        </w:rPr>
      </w:pPr>
      <w:r w:rsidRPr="00742FB1">
        <w:rPr>
          <w:rFonts w:ascii="Futura Bk BT" w:eastAsiaTheme="minorHAnsi" w:hAnsi="Futura Bk BT" w:cstheme="minorBidi"/>
          <w:b/>
          <w:bCs/>
          <w:sz w:val="40"/>
          <w:szCs w:val="40"/>
          <w:bdr w:val="none" w:sz="0" w:space="0" w:color="auto"/>
        </w:rPr>
        <w:t>through the Thrively Strengths-based Platform</w:t>
      </w:r>
    </w:p>
    <w:p w14:paraId="3D48AC12" w14:textId="77777777" w:rsidR="008A02DE" w:rsidRPr="00742FB1" w:rsidRDefault="008A02DE" w:rsidP="008A02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Futura Bk BT" w:eastAsiaTheme="minorHAnsi" w:hAnsi="Futura Bk BT" w:cstheme="minorBidi"/>
          <w:bdr w:val="none" w:sz="0" w:space="0" w:color="auto"/>
        </w:rPr>
      </w:pPr>
      <w:r w:rsidRPr="00742FB1">
        <w:rPr>
          <w:rFonts w:ascii="Futura Bk BT" w:eastAsiaTheme="minorHAnsi" w:hAnsi="Futura Bk BT" w:cstheme="minorBidi"/>
          <w:bdr w:val="none" w:sz="0" w:space="0" w:color="auto"/>
        </w:rPr>
        <w:t>Learning Support programs embody an individualized, student-centered approach. As students steer through the complexities of the educational system, self-advocacy and efficacy become critical to their success. Life beyond the classroom requires an ever-evolving set of skills and competencies. In order to find success, students must build a fuller understanding of themselves and learn how to apply their strengths, interests, and aspirations in charting a path into the future. They must engage in meaningful work, connect to the world beyond the school walls, and know their own rich potential.</w:t>
      </w:r>
    </w:p>
    <w:p w14:paraId="27FDFA4B" w14:textId="2852B749" w:rsidR="008A02DE" w:rsidRPr="00742FB1" w:rsidRDefault="008A02DE" w:rsidP="008A02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Futura Bk BT" w:eastAsiaTheme="minorHAnsi" w:hAnsi="Futura Bk BT" w:cstheme="minorBidi"/>
          <w:bdr w:val="none" w:sz="0" w:space="0" w:color="auto"/>
        </w:rPr>
      </w:pPr>
      <w:r w:rsidRPr="00742FB1">
        <w:rPr>
          <w:rFonts w:ascii="Futura Bk BT" w:eastAsiaTheme="minorHAnsi" w:hAnsi="Futura Bk BT" w:cstheme="minorBidi"/>
          <w:bdr w:val="none" w:sz="0" w:space="0" w:color="auto"/>
        </w:rPr>
        <w:t xml:space="preserve">In support of this complex set of challenges, Thrively has developed one single, comprehensive program that can guide schools in their work to empower </w:t>
      </w:r>
      <w:r w:rsidRPr="00742FB1">
        <w:rPr>
          <w:rFonts w:ascii="Futura Bk BT" w:eastAsiaTheme="minorHAnsi" w:hAnsi="Futura Bk BT" w:cstheme="minorBidi"/>
          <w:i/>
          <w:bdr w:val="none" w:sz="0" w:space="0" w:color="auto"/>
        </w:rPr>
        <w:t>all</w:t>
      </w:r>
      <w:r w:rsidRPr="00742FB1">
        <w:rPr>
          <w:rFonts w:ascii="Futura Bk BT" w:eastAsiaTheme="minorHAnsi" w:hAnsi="Futura Bk BT" w:cstheme="minorBidi"/>
          <w:bdr w:val="none" w:sz="0" w:space="0" w:color="auto"/>
        </w:rPr>
        <w:t xml:space="preserve"> students to be intrinsically motivated, productive, lifelong learners. From their industry-first Strength Assessment to their strengths-based IEP Project, and from real-world skill development to goal-driven Digital Portfolios, Thrively offers tools to enable the full array of Learning Support initiatives. </w:t>
      </w:r>
    </w:p>
    <w:p w14:paraId="084E3447" w14:textId="053B309D" w:rsidR="00483EFE" w:rsidRPr="00742FB1" w:rsidRDefault="00483EFE" w:rsidP="00483E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Futura Bk BT" w:eastAsiaTheme="minorHAnsi" w:hAnsi="Futura Bk BT" w:cstheme="minorBidi"/>
          <w:bdr w:val="none" w:sz="0" w:space="0" w:color="auto"/>
        </w:rPr>
      </w:pPr>
      <w:r w:rsidRPr="00742FB1">
        <w:rPr>
          <w:rFonts w:ascii="Futura Bk BT" w:eastAsiaTheme="minorHAnsi" w:hAnsi="Futura Bk BT" w:cstheme="minorBidi"/>
          <w:bdr w:val="none" w:sz="0" w:space="0" w:color="auto"/>
        </w:rPr>
        <w:t xml:space="preserve">In this </w:t>
      </w:r>
      <w:r w:rsidRPr="00742FB1">
        <w:rPr>
          <w:rFonts w:ascii="Futura Bk BT" w:eastAsiaTheme="minorHAnsi" w:hAnsi="Futura Bk BT" w:cstheme="minorBidi"/>
          <w:b/>
          <w:bCs/>
          <w:bdr w:val="none" w:sz="0" w:space="0" w:color="auto"/>
        </w:rPr>
        <w:t>one-day</w:t>
      </w:r>
      <w:r w:rsidRPr="00742FB1">
        <w:rPr>
          <w:rFonts w:ascii="Futura Bk BT" w:eastAsiaTheme="minorHAnsi" w:hAnsi="Futura Bk BT" w:cstheme="minorBidi"/>
          <w:bdr w:val="none" w:sz="0" w:space="0" w:color="auto"/>
        </w:rPr>
        <w:t xml:space="preserve"> workshop, participants will learn about:</w:t>
      </w:r>
    </w:p>
    <w:p w14:paraId="25D2D275" w14:textId="06A98740" w:rsidR="00742FB1" w:rsidRPr="00435120" w:rsidRDefault="00742FB1" w:rsidP="00742FB1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Futura Bk BT" w:hAnsi="Futura Bk BT"/>
        </w:rPr>
      </w:pPr>
      <w:r w:rsidRPr="00435120">
        <w:rPr>
          <w:rFonts w:ascii="Futura Bk BT" w:hAnsi="Futura Bk BT"/>
        </w:rPr>
        <w:t>Put</w:t>
      </w:r>
      <w:r w:rsidRPr="00435120">
        <w:rPr>
          <w:rFonts w:ascii="Futura Bk BT" w:hAnsi="Futura Bk BT"/>
        </w:rPr>
        <w:t>ting</w:t>
      </w:r>
      <w:r w:rsidRPr="00435120">
        <w:rPr>
          <w:rFonts w:ascii="Futura Bk BT" w:hAnsi="Futura Bk BT"/>
        </w:rPr>
        <w:t xml:space="preserve"> the student at the center of the conversation and empower every student/family/teacher with detailed understanding of strengths, interests, learning styles, aspirations, etc.</w:t>
      </w:r>
      <w:r w:rsidRPr="00435120">
        <w:rPr>
          <w:rFonts w:ascii="Futura Bk BT" w:hAnsi="Futura Bk BT"/>
        </w:rPr>
        <w:t xml:space="preserve"> using the </w:t>
      </w:r>
      <w:r w:rsidRPr="00435120">
        <w:rPr>
          <w:rFonts w:ascii="Futura Bk BT" w:hAnsi="Futura Bk BT"/>
          <w:b/>
          <w:bCs/>
        </w:rPr>
        <w:t xml:space="preserve">Strengths </w:t>
      </w:r>
      <w:r w:rsidR="00C106C0" w:rsidRPr="00435120">
        <w:rPr>
          <w:rFonts w:ascii="Futura Bk BT" w:hAnsi="Futura Bk BT"/>
          <w:b/>
          <w:bCs/>
        </w:rPr>
        <w:t>Assessment</w:t>
      </w:r>
      <w:r w:rsidRPr="00435120">
        <w:rPr>
          <w:rFonts w:ascii="Futura Bk BT" w:hAnsi="Futura Bk BT"/>
        </w:rPr>
        <w:t>, and other Assessment tools</w:t>
      </w:r>
      <w:r w:rsidR="00C106C0" w:rsidRPr="00435120">
        <w:rPr>
          <w:rFonts w:ascii="Futura Bk BT" w:hAnsi="Futura Bk BT"/>
        </w:rPr>
        <w:t xml:space="preserve"> to help students discover their strengths and interests, find passion and purpose, build social-emotional and life skills, and gain experience through authentic learning engagements.</w:t>
      </w:r>
    </w:p>
    <w:p w14:paraId="5367FDF3" w14:textId="79FAA448" w:rsidR="006829A1" w:rsidRPr="00435120" w:rsidRDefault="00C106C0" w:rsidP="006829A1">
      <w:pPr>
        <w:pStyle w:val="ListParagraph"/>
        <w:numPr>
          <w:ilvl w:val="0"/>
          <w:numId w:val="6"/>
        </w:numPr>
        <w:rPr>
          <w:rFonts w:ascii="Futura Bk BT" w:eastAsiaTheme="minorHAnsi" w:hAnsi="Futura Bk BT" w:cstheme="minorBidi"/>
          <w:sz w:val="22"/>
          <w:szCs w:val="22"/>
          <w:bdr w:val="none" w:sz="0" w:space="0" w:color="auto"/>
        </w:rPr>
      </w:pPr>
      <w:r w:rsidRPr="00435120">
        <w:rPr>
          <w:rFonts w:ascii="Futura Bk BT" w:hAnsi="Futura Bk BT"/>
        </w:rPr>
        <w:t xml:space="preserve">The </w:t>
      </w:r>
      <w:r w:rsidRPr="00435120">
        <w:rPr>
          <w:rFonts w:ascii="Futura Bk BT" w:hAnsi="Futura Bk BT"/>
          <w:b/>
          <w:bCs/>
        </w:rPr>
        <w:t>Well-Being Index</w:t>
      </w:r>
      <w:r w:rsidRPr="00435120">
        <w:rPr>
          <w:rFonts w:ascii="Futura Bk BT" w:hAnsi="Futura Bk BT"/>
        </w:rPr>
        <w:t xml:space="preserve"> and Thrively’s partnership </w:t>
      </w:r>
      <w:r w:rsidR="002D0C85" w:rsidRPr="00435120">
        <w:rPr>
          <w:rFonts w:ascii="Futura Bk BT" w:hAnsi="Futura Bk BT"/>
        </w:rPr>
        <w:t xml:space="preserve">with Turnaround for Children to provide a daily student Well-Being Index based on </w:t>
      </w:r>
      <w:r w:rsidRPr="00435120">
        <w:rPr>
          <w:rFonts w:ascii="Futura Bk BT" w:hAnsi="Futura Bk BT"/>
        </w:rPr>
        <w:t xml:space="preserve">research that points to 3 </w:t>
      </w:r>
      <w:r w:rsidR="00435120" w:rsidRPr="00435120">
        <w:rPr>
          <w:rFonts w:ascii="Futura Bk BT" w:hAnsi="Futura Bk BT"/>
        </w:rPr>
        <w:t>c</w:t>
      </w:r>
      <w:r w:rsidRPr="00435120">
        <w:rPr>
          <w:rFonts w:ascii="Futura Bk BT" w:hAnsi="Futura Bk BT"/>
        </w:rPr>
        <w:t>ommon elements ac</w:t>
      </w:r>
      <w:r w:rsidR="00435120" w:rsidRPr="00435120">
        <w:rPr>
          <w:rFonts w:ascii="Futura Bk BT" w:hAnsi="Futura Bk BT"/>
        </w:rPr>
        <w:t>r</w:t>
      </w:r>
      <w:r w:rsidRPr="00435120">
        <w:rPr>
          <w:rFonts w:ascii="Futura Bk BT" w:hAnsi="Futura Bk BT"/>
        </w:rPr>
        <w:t>oss settings that contribute to positive emotional development: Supportive Environment, Developmental Relationships, and Opportunities for integrated academic skill, and mindset development.</w:t>
      </w:r>
      <w:r w:rsidR="006829A1" w:rsidRPr="00435120">
        <w:rPr>
          <w:rFonts w:ascii="Futura Bk BT" w:eastAsiaTheme="minorHAnsi" w:hAnsi="Futura Bk BT" w:cstheme="minorBidi"/>
          <w:sz w:val="22"/>
          <w:szCs w:val="22"/>
          <w:bdr w:val="none" w:sz="0" w:space="0" w:color="auto"/>
        </w:rPr>
        <w:t xml:space="preserve"> </w:t>
      </w:r>
      <w:hyperlink r:id="rId8" w:history="1">
        <w:r w:rsidR="006829A1" w:rsidRPr="00435120">
          <w:rPr>
            <w:rFonts w:ascii="Futura Bk BT" w:eastAsiaTheme="minorHAnsi" w:hAnsi="Futura Bk BT" w:cstheme="minorBidi"/>
            <w:color w:val="0000FF"/>
            <w:sz w:val="22"/>
            <w:szCs w:val="22"/>
            <w:u w:val="single"/>
            <w:bdr w:val="none" w:sz="0" w:space="0" w:color="auto"/>
          </w:rPr>
          <w:t>https://www.youtube.com/watch?v=Q79nM8SD9k0&amp;authuser=0</w:t>
        </w:r>
      </w:hyperlink>
      <w:r w:rsidR="006829A1" w:rsidRPr="00435120">
        <w:rPr>
          <w:rFonts w:ascii="Futura Bk BT" w:eastAsiaTheme="minorHAnsi" w:hAnsi="Futura Bk BT" w:cstheme="minorBidi"/>
          <w:sz w:val="22"/>
          <w:szCs w:val="22"/>
          <w:bdr w:val="none" w:sz="0" w:space="0" w:color="auto"/>
        </w:rPr>
        <w:t xml:space="preserve"> </w:t>
      </w:r>
    </w:p>
    <w:p w14:paraId="2D408B24" w14:textId="6E20A228" w:rsidR="00435120" w:rsidRPr="00435120" w:rsidRDefault="00435120" w:rsidP="006829A1">
      <w:pPr>
        <w:pStyle w:val="ListParagraph"/>
        <w:numPr>
          <w:ilvl w:val="0"/>
          <w:numId w:val="6"/>
        </w:numPr>
        <w:rPr>
          <w:rFonts w:ascii="Futura Bk BT" w:eastAsiaTheme="minorHAnsi" w:hAnsi="Futura Bk BT" w:cstheme="minorBidi"/>
          <w:sz w:val="22"/>
          <w:szCs w:val="22"/>
          <w:bdr w:val="none" w:sz="0" w:space="0" w:color="auto"/>
        </w:rPr>
      </w:pPr>
      <w:r w:rsidRPr="00435120">
        <w:rPr>
          <w:rFonts w:ascii="Futura Bk BT" w:eastAsiaTheme="minorHAnsi" w:hAnsi="Futura Bk BT" w:cstheme="minorBidi"/>
          <w:sz w:val="22"/>
          <w:szCs w:val="22"/>
          <w:bdr w:val="none" w:sz="0" w:space="0" w:color="auto"/>
        </w:rPr>
        <w:t xml:space="preserve">Thrively’s Signature </w:t>
      </w:r>
      <w:r w:rsidRPr="00435120">
        <w:rPr>
          <w:rFonts w:ascii="Futura Bk BT" w:eastAsiaTheme="minorHAnsi" w:hAnsi="Futura Bk BT" w:cstheme="minorBidi"/>
          <w:b/>
          <w:bCs/>
          <w:sz w:val="22"/>
          <w:szCs w:val="22"/>
          <w:bdr w:val="none" w:sz="0" w:space="0" w:color="auto"/>
        </w:rPr>
        <w:t>Hope Index,</w:t>
      </w:r>
      <w:r w:rsidRPr="00435120">
        <w:rPr>
          <w:rFonts w:ascii="Futura Bk BT" w:eastAsiaTheme="minorHAnsi" w:hAnsi="Futura Bk BT" w:cstheme="minorBidi"/>
          <w:sz w:val="22"/>
          <w:szCs w:val="22"/>
          <w:bdr w:val="none" w:sz="0" w:space="0" w:color="auto"/>
        </w:rPr>
        <w:t xml:space="preserve"> a two—minute evidence-based tool that measures hope levels in students and staff with complimenting evidence-based lessons for students to learn hope-based practices that increase their daily well-being and form long-term habits.</w:t>
      </w:r>
    </w:p>
    <w:p w14:paraId="758EE02E" w14:textId="597F6AE7" w:rsidR="002D0C85" w:rsidRPr="00435120" w:rsidRDefault="006829A1" w:rsidP="00742FB1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Futura Bk BT" w:hAnsi="Futura Bk BT"/>
        </w:rPr>
      </w:pPr>
      <w:r w:rsidRPr="00435120">
        <w:rPr>
          <w:rFonts w:ascii="Futura Bk BT" w:hAnsi="Futura Bk BT"/>
        </w:rPr>
        <w:t>Thousands of hours of curated lessons and projects that are ready to use in the classroom, including CASEL’s aligned SEL Programs for K-12.</w:t>
      </w:r>
    </w:p>
    <w:p w14:paraId="23E0A993" w14:textId="2BAD3EF4" w:rsidR="00742FB1" w:rsidRPr="00435120" w:rsidRDefault="00742FB1" w:rsidP="00742FB1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Futura Bk BT" w:hAnsi="Futura Bk BT"/>
        </w:rPr>
      </w:pPr>
      <w:r w:rsidRPr="00435120">
        <w:rPr>
          <w:rFonts w:ascii="Futura Bk BT" w:hAnsi="Futura Bk BT"/>
        </w:rPr>
        <w:t>Build</w:t>
      </w:r>
      <w:r w:rsidRPr="00435120">
        <w:rPr>
          <w:rFonts w:ascii="Futura Bk BT" w:hAnsi="Futura Bk BT"/>
        </w:rPr>
        <w:t>ing</w:t>
      </w:r>
      <w:r w:rsidRPr="00435120">
        <w:rPr>
          <w:rFonts w:ascii="Futura Bk BT" w:hAnsi="Futura Bk BT"/>
        </w:rPr>
        <w:t xml:space="preserve"> consistent SEL delivery across the K-12 continuum by developing organized, grade-level specific Playlists of existing Thrively Lessons.</w:t>
      </w:r>
    </w:p>
    <w:p w14:paraId="7CD6226C" w14:textId="5E984AD0" w:rsidR="00742FB1" w:rsidRPr="00435120" w:rsidRDefault="00742FB1" w:rsidP="00742FB1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Futura Bk BT" w:hAnsi="Futura Bk BT"/>
        </w:rPr>
      </w:pPr>
      <w:r w:rsidRPr="00435120">
        <w:rPr>
          <w:rFonts w:ascii="Futura Bk BT" w:hAnsi="Futura Bk BT"/>
        </w:rPr>
        <w:t>Enhanc</w:t>
      </w:r>
      <w:r w:rsidRPr="00435120">
        <w:rPr>
          <w:rFonts w:ascii="Futura Bk BT" w:hAnsi="Futura Bk BT"/>
        </w:rPr>
        <w:t>ing</w:t>
      </w:r>
      <w:r w:rsidRPr="00435120">
        <w:rPr>
          <w:rFonts w:ascii="Futura Bk BT" w:hAnsi="Futura Bk BT"/>
        </w:rPr>
        <w:t xml:space="preserve"> student-to-student and teacher-student interaction via the collaboration feed within the Project Tool. </w:t>
      </w:r>
    </w:p>
    <w:p w14:paraId="3DF38803" w14:textId="1758D2A1" w:rsidR="00742FB1" w:rsidRPr="00435120" w:rsidRDefault="00742FB1" w:rsidP="00742FB1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Futura Bk BT" w:hAnsi="Futura Bk BT"/>
        </w:rPr>
      </w:pPr>
      <w:r w:rsidRPr="00435120">
        <w:rPr>
          <w:rFonts w:ascii="Futura Bk BT" w:hAnsi="Futura Bk BT"/>
        </w:rPr>
        <w:t>Promot</w:t>
      </w:r>
      <w:r w:rsidRPr="00435120">
        <w:rPr>
          <w:rFonts w:ascii="Futura Bk BT" w:hAnsi="Futura Bk BT"/>
        </w:rPr>
        <w:t>ing</w:t>
      </w:r>
      <w:r w:rsidRPr="00435120">
        <w:rPr>
          <w:rFonts w:ascii="Futura Bk BT" w:hAnsi="Futura Bk BT"/>
        </w:rPr>
        <w:t xml:space="preserve"> engaging PBL instruction across the faculty via the scaffolded approach built into the Project Tool (</w:t>
      </w:r>
      <w:r w:rsidR="0026629E" w:rsidRPr="00435120">
        <w:rPr>
          <w:rFonts w:ascii="Futura Bk BT" w:hAnsi="Futura Bk BT"/>
        </w:rPr>
        <w:t>i.e.,</w:t>
      </w:r>
      <w:r w:rsidRPr="00435120">
        <w:rPr>
          <w:rFonts w:ascii="Futura Bk BT" w:hAnsi="Futura Bk BT"/>
        </w:rPr>
        <w:t xml:space="preserve"> start with off-the-rack Thrively projects, build edited versions of Thrively projects, ultimately design their own projects).</w:t>
      </w:r>
    </w:p>
    <w:p w14:paraId="42B5C1D1" w14:textId="710B6DD3" w:rsidR="00742FB1" w:rsidRPr="00435120" w:rsidRDefault="00742FB1" w:rsidP="00742FB1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Futura Bk BT" w:hAnsi="Futura Bk BT"/>
        </w:rPr>
      </w:pPr>
      <w:r w:rsidRPr="00435120">
        <w:rPr>
          <w:rFonts w:ascii="Futura Bk BT" w:hAnsi="Futura Bk BT"/>
        </w:rPr>
        <w:t>Captur</w:t>
      </w:r>
      <w:r w:rsidRPr="00435120">
        <w:rPr>
          <w:rFonts w:ascii="Futura Bk BT" w:hAnsi="Futura Bk BT"/>
        </w:rPr>
        <w:t>ing</w:t>
      </w:r>
      <w:r w:rsidRPr="00435120">
        <w:rPr>
          <w:rFonts w:ascii="Futura Bk BT" w:hAnsi="Futura Bk BT"/>
        </w:rPr>
        <w:t xml:space="preserve"> student growth beyond grades and scores using the goal-driven </w:t>
      </w:r>
      <w:r w:rsidRPr="00435120">
        <w:rPr>
          <w:rFonts w:ascii="Futura Bk BT" w:hAnsi="Futura Bk BT"/>
          <w:b/>
          <w:bCs/>
        </w:rPr>
        <w:t>Digital Portfolio</w:t>
      </w:r>
      <w:r w:rsidRPr="00435120">
        <w:rPr>
          <w:rFonts w:ascii="Futura Bk BT" w:hAnsi="Futura Bk BT"/>
        </w:rPr>
        <w:t xml:space="preserve">. </w:t>
      </w:r>
    </w:p>
    <w:p w14:paraId="70C3784D" w14:textId="3D8F7207" w:rsidR="00483EFE" w:rsidRPr="00435120" w:rsidRDefault="002D0C85" w:rsidP="00483EFE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Futura Bk BT" w:eastAsiaTheme="minorHAnsi" w:hAnsi="Futura Bk BT" w:cstheme="minorBidi"/>
          <w:bdr w:val="none" w:sz="0" w:space="0" w:color="auto"/>
        </w:rPr>
      </w:pPr>
      <w:r w:rsidRPr="00435120">
        <w:rPr>
          <w:rFonts w:ascii="Futura Bk BT" w:eastAsiaTheme="minorHAnsi" w:hAnsi="Futura Bk BT" w:cstheme="minorBidi"/>
          <w:bdr w:val="none" w:sz="0" w:space="0" w:color="auto"/>
        </w:rPr>
        <w:t xml:space="preserve">Learning the power of reflection-driven lessons for </w:t>
      </w:r>
      <w:r w:rsidRPr="00435120">
        <w:rPr>
          <w:rFonts w:ascii="Futura Bk BT" w:eastAsiaTheme="minorHAnsi" w:hAnsi="Futura Bk BT" w:cstheme="minorBidi"/>
          <w:b/>
          <w:bCs/>
          <w:bdr w:val="none" w:sz="0" w:space="0" w:color="auto"/>
        </w:rPr>
        <w:t>Advisory</w:t>
      </w:r>
      <w:r w:rsidR="00435120" w:rsidRPr="00435120">
        <w:rPr>
          <w:rFonts w:ascii="Futura Bk BT" w:eastAsiaTheme="minorHAnsi" w:hAnsi="Futura Bk BT" w:cstheme="minorBidi"/>
          <w:b/>
          <w:bCs/>
          <w:bdr w:val="none" w:sz="0" w:space="0" w:color="auto"/>
        </w:rPr>
        <w:t>,</w:t>
      </w:r>
    </w:p>
    <w:p w14:paraId="694F1DC7" w14:textId="77777777" w:rsidR="002D0C85" w:rsidRPr="00435120" w:rsidRDefault="002D0C85" w:rsidP="0043512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Futura Bk BT" w:eastAsiaTheme="minorHAnsi" w:hAnsi="Futura Bk BT" w:cstheme="minorBidi"/>
          <w:bdr w:val="none" w:sz="0" w:space="0" w:color="auto"/>
        </w:rPr>
      </w:pPr>
    </w:p>
    <w:p w14:paraId="019B5171" w14:textId="77777777" w:rsidR="00483EFE" w:rsidRPr="00435120" w:rsidRDefault="00483EFE" w:rsidP="008A02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Futura Bk BT" w:eastAsiaTheme="minorHAnsi" w:hAnsi="Futura Bk BT" w:cstheme="minorBidi"/>
          <w:sz w:val="22"/>
          <w:szCs w:val="22"/>
          <w:bdr w:val="none" w:sz="0" w:space="0" w:color="auto"/>
        </w:rPr>
      </w:pPr>
    </w:p>
    <w:p w14:paraId="2F7B5694" w14:textId="4EA58FC6" w:rsidR="00BD0133" w:rsidRPr="00B06666" w:rsidRDefault="00BD0133" w:rsidP="008A02DE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0"/>
        <w:rPr>
          <w:rFonts w:ascii="Futura PT Light" w:hAnsi="Futura PT Light" w:cs="Calibri"/>
          <w:sz w:val="32"/>
          <w:szCs w:val="32"/>
        </w:rPr>
      </w:pPr>
    </w:p>
    <w:sectPr w:rsidR="00BD0133" w:rsidRPr="00B0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D26C" w14:textId="77777777" w:rsidR="000D0D53" w:rsidRDefault="000D0D53" w:rsidP="00361D53">
      <w:r>
        <w:separator/>
      </w:r>
    </w:p>
  </w:endnote>
  <w:endnote w:type="continuationSeparator" w:id="0">
    <w:p w14:paraId="7DB7563A" w14:textId="77777777" w:rsidR="000D0D53" w:rsidRDefault="000D0D53" w:rsidP="0036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PT Light">
    <w:altName w:val="Century Gothic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6B4E1" w14:textId="77777777" w:rsidR="000D0D53" w:rsidRDefault="000D0D53" w:rsidP="00361D53">
      <w:r>
        <w:separator/>
      </w:r>
    </w:p>
  </w:footnote>
  <w:footnote w:type="continuationSeparator" w:id="0">
    <w:p w14:paraId="474323AC" w14:textId="77777777" w:rsidR="000D0D53" w:rsidRDefault="000D0D53" w:rsidP="0036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076"/>
    <w:multiLevelType w:val="hybridMultilevel"/>
    <w:tmpl w:val="3D16F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3179FD"/>
    <w:multiLevelType w:val="hybridMultilevel"/>
    <w:tmpl w:val="5ADC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442F8"/>
    <w:multiLevelType w:val="hybridMultilevel"/>
    <w:tmpl w:val="ADDA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D5FED"/>
    <w:multiLevelType w:val="hybridMultilevel"/>
    <w:tmpl w:val="179C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C50BA"/>
    <w:multiLevelType w:val="hybridMultilevel"/>
    <w:tmpl w:val="5ADE782C"/>
    <w:lvl w:ilvl="0" w:tplc="7786C586">
      <w:start w:val="2"/>
      <w:numFmt w:val="bullet"/>
      <w:lvlText w:val="-"/>
      <w:lvlJc w:val="left"/>
      <w:pPr>
        <w:ind w:left="1165" w:hanging="360"/>
      </w:pPr>
      <w:rPr>
        <w:rFonts w:ascii="Futura PT Light" w:eastAsia="Calibri" w:hAnsi="Futura PT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5" w15:restartNumberingAfterBreak="0">
    <w:nsid w:val="73C639FB"/>
    <w:multiLevelType w:val="hybridMultilevel"/>
    <w:tmpl w:val="1652A690"/>
    <w:lvl w:ilvl="0" w:tplc="5972FFE4">
      <w:start w:val="1"/>
      <w:numFmt w:val="bullet"/>
      <w:suff w:val="nothing"/>
      <w:lvlText w:val="•"/>
      <w:lvlJc w:val="left"/>
      <w:pPr>
        <w:ind w:left="205" w:hanging="205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1E3C54">
      <w:start w:val="1"/>
      <w:numFmt w:val="bullet"/>
      <w:lvlText w:val="•"/>
      <w:lvlJc w:val="left"/>
      <w:pPr>
        <w:ind w:left="805" w:hanging="205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AC609340">
      <w:start w:val="1"/>
      <w:numFmt w:val="bullet"/>
      <w:suff w:val="nothing"/>
      <w:lvlText w:val="•"/>
      <w:lvlJc w:val="left"/>
      <w:pPr>
        <w:ind w:left="13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4ECCE4">
      <w:start w:val="1"/>
      <w:numFmt w:val="bullet"/>
      <w:suff w:val="nothing"/>
      <w:lvlText w:val="•"/>
      <w:lvlJc w:val="left"/>
      <w:pPr>
        <w:ind w:left="19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2B900">
      <w:start w:val="1"/>
      <w:numFmt w:val="bullet"/>
      <w:suff w:val="nothing"/>
      <w:lvlText w:val="•"/>
      <w:lvlJc w:val="left"/>
      <w:pPr>
        <w:ind w:left="25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C08F96">
      <w:start w:val="1"/>
      <w:numFmt w:val="bullet"/>
      <w:suff w:val="nothing"/>
      <w:lvlText w:val="•"/>
      <w:lvlJc w:val="left"/>
      <w:pPr>
        <w:ind w:left="31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A0AEC0">
      <w:start w:val="1"/>
      <w:numFmt w:val="bullet"/>
      <w:suff w:val="nothing"/>
      <w:lvlText w:val="•"/>
      <w:lvlJc w:val="left"/>
      <w:pPr>
        <w:ind w:left="37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3CB266">
      <w:start w:val="1"/>
      <w:numFmt w:val="bullet"/>
      <w:suff w:val="nothing"/>
      <w:lvlText w:val="•"/>
      <w:lvlJc w:val="left"/>
      <w:pPr>
        <w:ind w:left="43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A0D4A4">
      <w:start w:val="1"/>
      <w:numFmt w:val="bullet"/>
      <w:suff w:val="nothing"/>
      <w:lvlText w:val="•"/>
      <w:lvlJc w:val="left"/>
      <w:pPr>
        <w:ind w:left="49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FFC282C"/>
    <w:multiLevelType w:val="hybridMultilevel"/>
    <w:tmpl w:val="D9B4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731759">
    <w:abstractNumId w:val="5"/>
  </w:num>
  <w:num w:numId="2" w16cid:durableId="1453667577">
    <w:abstractNumId w:val="4"/>
  </w:num>
  <w:num w:numId="3" w16cid:durableId="1933656986">
    <w:abstractNumId w:val="1"/>
  </w:num>
  <w:num w:numId="4" w16cid:durableId="1018237832">
    <w:abstractNumId w:val="6"/>
  </w:num>
  <w:num w:numId="5" w16cid:durableId="1167012420">
    <w:abstractNumId w:val="2"/>
  </w:num>
  <w:num w:numId="6" w16cid:durableId="1769277631">
    <w:abstractNumId w:val="3"/>
  </w:num>
  <w:num w:numId="7" w16cid:durableId="208051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53"/>
    <w:rsid w:val="000D0D53"/>
    <w:rsid w:val="001A6D8C"/>
    <w:rsid w:val="0026629E"/>
    <w:rsid w:val="002D0C85"/>
    <w:rsid w:val="00361D53"/>
    <w:rsid w:val="00435120"/>
    <w:rsid w:val="00483EFE"/>
    <w:rsid w:val="004A3DC4"/>
    <w:rsid w:val="006412BF"/>
    <w:rsid w:val="006829A1"/>
    <w:rsid w:val="00742FB1"/>
    <w:rsid w:val="00757003"/>
    <w:rsid w:val="008173D8"/>
    <w:rsid w:val="00866883"/>
    <w:rsid w:val="008A02DE"/>
    <w:rsid w:val="00941DDE"/>
    <w:rsid w:val="00B009D9"/>
    <w:rsid w:val="00B06666"/>
    <w:rsid w:val="00BD0133"/>
    <w:rsid w:val="00C106C0"/>
    <w:rsid w:val="00C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19E1"/>
  <w15:chartTrackingRefBased/>
  <w15:docId w15:val="{8CD4D386-23BC-4FA9-8B98-815770A0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D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361D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361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D53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361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D53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ListParagraph">
    <w:name w:val="List Paragraph"/>
    <w:basedOn w:val="Normal"/>
    <w:uiPriority w:val="34"/>
    <w:qFormat/>
    <w:rsid w:val="0048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79nM8SD9k0&amp;authuser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Ebrahimi</dc:creator>
  <cp:keywords/>
  <dc:description/>
  <cp:lastModifiedBy>Paul Ebrahimi</cp:lastModifiedBy>
  <cp:revision>2</cp:revision>
  <cp:lastPrinted>2022-03-12T18:48:00Z</cp:lastPrinted>
  <dcterms:created xsi:type="dcterms:W3CDTF">2022-08-28T21:43:00Z</dcterms:created>
  <dcterms:modified xsi:type="dcterms:W3CDTF">2022-08-28T21:43:00Z</dcterms:modified>
</cp:coreProperties>
</file>